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3676" w14:textId="77777777" w:rsidR="00892F21" w:rsidRPr="00C52723" w:rsidRDefault="00892F21" w:rsidP="00892F21">
      <w:pPr>
        <w:rPr>
          <w:rFonts w:ascii="Calibri" w:hAnsi="Calibri" w:cs="Calibri"/>
        </w:rPr>
      </w:pPr>
      <w:r w:rsidRPr="00C52723">
        <w:rPr>
          <w:rFonts w:ascii="Calibri" w:hAnsi="Calibri" w:cs="Calibri"/>
          <w:noProof/>
        </w:rPr>
        <w:drawing>
          <wp:inline distT="0" distB="0" distL="0" distR="0" wp14:anchorId="3E8595EE" wp14:editId="25D59903">
            <wp:extent cx="1304925" cy="342900"/>
            <wp:effectExtent l="0" t="0" r="0" b="0"/>
            <wp:docPr id="615525209" name="drawing" title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25209" name="Picture 61552520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019AB" w14:textId="644D79B2" w:rsidR="00892F21" w:rsidRPr="00C52723" w:rsidRDefault="00892F21" w:rsidP="00892F21">
      <w:pPr>
        <w:rPr>
          <w:rFonts w:ascii="Calibri" w:hAnsi="Calibri" w:cs="Calibri"/>
          <w:sz w:val="48"/>
          <w:szCs w:val="48"/>
        </w:rPr>
      </w:pPr>
      <w:proofErr w:type="spellStart"/>
      <w:r>
        <w:rPr>
          <w:rFonts w:ascii="Calibri" w:hAnsi="Calibri" w:cs="Calibri"/>
          <w:sz w:val="48"/>
          <w:szCs w:val="48"/>
        </w:rPr>
        <w:t>eInvoicing</w:t>
      </w:r>
      <w:r w:rsidRPr="00C52723">
        <w:rPr>
          <w:rFonts w:ascii="Calibri" w:hAnsi="Calibri" w:cs="Calibri"/>
          <w:sz w:val="48"/>
          <w:szCs w:val="48"/>
        </w:rPr>
        <w:t>@Aidacare</w:t>
      </w:r>
      <w:proofErr w:type="spellEnd"/>
      <w:r w:rsidRPr="00C52723">
        <w:rPr>
          <w:rFonts w:ascii="Calibri" w:hAnsi="Calibri" w:cs="Calibri"/>
          <w:sz w:val="48"/>
          <w:szCs w:val="48"/>
        </w:rPr>
        <w:t xml:space="preserve"> </w:t>
      </w:r>
      <w:proofErr w:type="gramStart"/>
      <w:r>
        <w:rPr>
          <w:rFonts w:ascii="Calibri" w:hAnsi="Calibri" w:cs="Calibri"/>
          <w:sz w:val="48"/>
          <w:szCs w:val="48"/>
        </w:rPr>
        <w:t xml:space="preserve">( </w:t>
      </w:r>
      <w:proofErr w:type="spellStart"/>
      <w:r>
        <w:rPr>
          <w:rFonts w:ascii="Calibri" w:hAnsi="Calibri" w:cs="Calibri"/>
          <w:sz w:val="48"/>
          <w:szCs w:val="48"/>
        </w:rPr>
        <w:t>PostMaster</w:t>
      </w:r>
      <w:proofErr w:type="spellEnd"/>
      <w:proofErr w:type="gramEnd"/>
      <w:r>
        <w:rPr>
          <w:rFonts w:ascii="Calibri" w:hAnsi="Calibri" w:cs="Calibri"/>
          <w:sz w:val="48"/>
          <w:szCs w:val="48"/>
        </w:rPr>
        <w:t xml:space="preserve"> Connect)</w:t>
      </w:r>
    </w:p>
    <w:p w14:paraId="0B81ECFC" w14:textId="77777777" w:rsidR="00892F21" w:rsidRDefault="00892F21"/>
    <w:tbl>
      <w:tblPr>
        <w:tblW w:w="575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80"/>
        <w:gridCol w:w="672"/>
        <w:gridCol w:w="3500"/>
      </w:tblGrid>
      <w:tr w:rsidR="00892F21" w:rsidRPr="00892F21" w14:paraId="7FA40ED6" w14:textId="77777777" w:rsidTr="00892F21">
        <w:trPr>
          <w:trHeight w:val="300"/>
        </w:trPr>
        <w:tc>
          <w:tcPr>
            <w:tcW w:w="158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  <w:noWrap/>
            <w:vAlign w:val="bottom"/>
            <w:hideMark/>
          </w:tcPr>
          <w:p w14:paraId="735A9BFA" w14:textId="77777777" w:rsidR="00892F21" w:rsidRPr="00892F21" w:rsidRDefault="00892F21" w:rsidP="0089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92F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 Server</w:t>
            </w:r>
          </w:p>
        </w:tc>
        <w:tc>
          <w:tcPr>
            <w:tcW w:w="672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  <w:noWrap/>
            <w:vAlign w:val="bottom"/>
            <w:hideMark/>
          </w:tcPr>
          <w:p w14:paraId="15074CB5" w14:textId="77777777" w:rsidR="00892F21" w:rsidRPr="00892F21" w:rsidRDefault="00892F21" w:rsidP="0089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92F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0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  <w:noWrap/>
            <w:vAlign w:val="bottom"/>
            <w:hideMark/>
          </w:tcPr>
          <w:p w14:paraId="54168974" w14:textId="77777777" w:rsidR="00892F21" w:rsidRPr="00892F21" w:rsidRDefault="00892F21" w:rsidP="0089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92F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AIDAPOS01V</w:t>
            </w:r>
          </w:p>
        </w:tc>
      </w:tr>
      <w:tr w:rsidR="00892F21" w:rsidRPr="00892F21" w14:paraId="6563241F" w14:textId="77777777" w:rsidTr="00892F21">
        <w:trPr>
          <w:trHeight w:val="300"/>
        </w:trPr>
        <w:tc>
          <w:tcPr>
            <w:tcW w:w="158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  <w:noWrap/>
            <w:vAlign w:val="bottom"/>
          </w:tcPr>
          <w:p w14:paraId="7667953B" w14:textId="77777777" w:rsidR="00892F21" w:rsidRPr="00892F21" w:rsidRDefault="00892F21" w:rsidP="0089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  <w:noWrap/>
            <w:vAlign w:val="bottom"/>
          </w:tcPr>
          <w:p w14:paraId="7ED4E96C" w14:textId="77777777" w:rsidR="00892F21" w:rsidRPr="00892F21" w:rsidRDefault="00892F21" w:rsidP="0089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50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  <w:noWrap/>
            <w:vAlign w:val="bottom"/>
          </w:tcPr>
          <w:p w14:paraId="490BD124" w14:textId="77777777" w:rsidR="00892F21" w:rsidRPr="00892F21" w:rsidRDefault="00892F21" w:rsidP="0089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92F21" w:rsidRPr="00892F21" w14:paraId="5FC20CAE" w14:textId="77777777" w:rsidTr="00892F21">
        <w:trPr>
          <w:trHeight w:val="300"/>
        </w:trPr>
        <w:tc>
          <w:tcPr>
            <w:tcW w:w="158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  <w:noWrap/>
            <w:vAlign w:val="bottom"/>
          </w:tcPr>
          <w:p w14:paraId="167F382E" w14:textId="77777777" w:rsidR="00892F21" w:rsidRPr="00892F21" w:rsidRDefault="00892F21" w:rsidP="0089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  <w:noWrap/>
            <w:vAlign w:val="bottom"/>
          </w:tcPr>
          <w:p w14:paraId="299B034C" w14:textId="77777777" w:rsidR="00892F21" w:rsidRPr="00892F21" w:rsidRDefault="00892F21" w:rsidP="0089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50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  <w:noWrap/>
            <w:vAlign w:val="bottom"/>
          </w:tcPr>
          <w:p w14:paraId="3ADA3222" w14:textId="77777777" w:rsidR="00892F21" w:rsidRPr="00892F21" w:rsidRDefault="00892F21" w:rsidP="0089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68FD34A7" w14:textId="77777777" w:rsidR="00892F21" w:rsidRDefault="00892F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92F21" w14:paraId="5B62C957" w14:textId="77777777" w:rsidTr="00892F21">
        <w:tc>
          <w:tcPr>
            <w:tcW w:w="3823" w:type="dxa"/>
          </w:tcPr>
          <w:p w14:paraId="017F6654" w14:textId="77777777" w:rsidR="00892F21" w:rsidRDefault="00892F21" w:rsidP="00892F21">
            <w:pPr>
              <w:pStyle w:val="Heading3"/>
              <w:rPr>
                <w:rFonts w:ascii="Helvetica" w:hAnsi="Helvetica"/>
                <w:color w:val="0F3266"/>
                <w:sz w:val="36"/>
                <w:szCs w:val="36"/>
              </w:rPr>
            </w:pPr>
          </w:p>
          <w:p w14:paraId="0F855825" w14:textId="21DB3664" w:rsidR="00892F21" w:rsidRPr="00892F21" w:rsidRDefault="00892F21" w:rsidP="00892F2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>eInvoicing</w:t>
            </w:r>
            <w:proofErr w:type="spellEnd"/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is a way to seamlessly &amp; electronically exchange invoices between software systems. This means that unlike emailing a PDF, e-invoices are sent securely from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GP </w:t>
            </w:r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 appear in customer’s accounting software, ready to be approved and paid.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Aidacare</w:t>
            </w:r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 longer need to manually enter invoice details, which saves time and contributes to faster payment and healthier cash flow.</w:t>
            </w:r>
          </w:p>
          <w:p w14:paraId="4359A5E7" w14:textId="77777777" w:rsidR="00892F21" w:rsidRDefault="00892F21" w:rsidP="00892F21">
            <w:pPr>
              <w:rPr>
                <w:rFonts w:ascii="Times New Roman" w:hAnsi="Times New Roman"/>
              </w:rPr>
            </w:pPr>
          </w:p>
          <w:p w14:paraId="2061F0BD" w14:textId="77777777" w:rsidR="00892F21" w:rsidRDefault="00892F21" w:rsidP="00892F21">
            <w:pPr>
              <w:spacing w:before="100" w:beforeAutospacing="1" w:after="100" w:afterAutospacing="1"/>
            </w:pPr>
          </w:p>
        </w:tc>
        <w:tc>
          <w:tcPr>
            <w:tcW w:w="5193" w:type="dxa"/>
          </w:tcPr>
          <w:p w14:paraId="1B81D71D" w14:textId="77777777" w:rsidR="00892F21" w:rsidRPr="00892F21" w:rsidRDefault="00892F21" w:rsidP="00892F21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F262848" w14:textId="77777777" w:rsidR="00892F21" w:rsidRPr="00892F21" w:rsidRDefault="00892F21" w:rsidP="00892F21">
            <w:pPr>
              <w:pStyle w:val="Heading3"/>
              <w:rPr>
                <w:rFonts w:ascii="Calibri" w:hAnsi="Calibri" w:cs="Calibri"/>
                <w:color w:val="0F3266"/>
                <w:sz w:val="22"/>
                <w:szCs w:val="22"/>
              </w:rPr>
            </w:pPr>
            <w:proofErr w:type="spellStart"/>
            <w:r w:rsidRPr="00892F21">
              <w:rPr>
                <w:rFonts w:ascii="Calibri" w:hAnsi="Calibri" w:cs="Calibri"/>
                <w:color w:val="0F3266"/>
                <w:sz w:val="22"/>
                <w:szCs w:val="22"/>
              </w:rPr>
              <w:t>eInvoicing</w:t>
            </w:r>
            <w:proofErr w:type="spellEnd"/>
            <w:r w:rsidRPr="00892F21">
              <w:rPr>
                <w:rFonts w:ascii="Calibri" w:hAnsi="Calibri" w:cs="Calibri"/>
                <w:color w:val="0F3266"/>
                <w:sz w:val="22"/>
                <w:szCs w:val="22"/>
              </w:rPr>
              <w:t xml:space="preserve"> with </w:t>
            </w:r>
            <w:proofErr w:type="gramStart"/>
            <w:r w:rsidRPr="00892F21">
              <w:rPr>
                <w:rFonts w:ascii="Calibri" w:hAnsi="Calibri" w:cs="Calibri"/>
                <w:color w:val="0F3266"/>
                <w:sz w:val="22"/>
                <w:szCs w:val="22"/>
              </w:rPr>
              <w:t>Post Master</w:t>
            </w:r>
            <w:proofErr w:type="gramEnd"/>
            <w:r w:rsidRPr="00892F21">
              <w:rPr>
                <w:rFonts w:ascii="Calibri" w:hAnsi="Calibri" w:cs="Calibri"/>
                <w:color w:val="0F3266"/>
                <w:sz w:val="22"/>
                <w:szCs w:val="22"/>
              </w:rPr>
              <w:t xml:space="preserve"> Connect</w:t>
            </w:r>
          </w:p>
          <w:p w14:paraId="55E44D90" w14:textId="27B9CC05" w:rsidR="00892F21" w:rsidRPr="00892F21" w:rsidRDefault="00892F21" w:rsidP="00892F21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892F21">
              <w:rPr>
                <w:rStyle w:val="Strong"/>
                <w:rFonts w:ascii="Calibri" w:eastAsiaTheme="majorEastAsia" w:hAnsi="Calibri" w:cs="Calibri"/>
                <w:i/>
                <w:iCs/>
                <w:color w:val="000000"/>
                <w:sz w:val="22"/>
                <w:szCs w:val="22"/>
              </w:rPr>
              <w:t>Post Master</w:t>
            </w:r>
            <w:proofErr w:type="gramEnd"/>
            <w:r w:rsidRPr="00892F21">
              <w:rPr>
                <w:rStyle w:val="Strong"/>
                <w:rFonts w:ascii="Calibri" w:eastAsiaTheme="majorEastAsia" w:hAnsi="Calibri" w:cs="Calibri"/>
                <w:i/>
                <w:iCs/>
                <w:color w:val="000000"/>
                <w:sz w:val="22"/>
                <w:szCs w:val="22"/>
              </w:rPr>
              <w:t xml:space="preserve"> Connect</w:t>
            </w:r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allows users of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Aidacare </w:t>
            </w:r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Dynamics GP to publish and read from </w:t>
            </w:r>
            <w:proofErr w:type="gramStart"/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>a number of</w:t>
            </w:r>
            <w:proofErr w:type="gramEnd"/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industry leading connection points including:</w:t>
            </w:r>
          </w:p>
          <w:p w14:paraId="32806D5F" w14:textId="77777777" w:rsidR="00892F21" w:rsidRPr="00892F21" w:rsidRDefault="00892F21" w:rsidP="00892F2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Australian / New Zealand </w:t>
            </w:r>
            <w:proofErr w:type="spellStart"/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>eInvoicing</w:t>
            </w:r>
            <w:proofErr w:type="spellEnd"/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PEPPOL platform</w:t>
            </w:r>
            <w:r w:rsidRPr="00892F21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hyperlink r:id="rId6" w:tgtFrame="_blank" w:history="1">
              <w:r w:rsidRPr="00892F21">
                <w:rPr>
                  <w:rStyle w:val="Hyperlink"/>
                  <w:rFonts w:ascii="Calibri" w:hAnsi="Calibri" w:cs="Calibri"/>
                  <w:sz w:val="22"/>
                  <w:szCs w:val="22"/>
                </w:rPr>
                <w:t>ato.gov.au/business/e-invoicing</w:t>
              </w:r>
            </w:hyperlink>
          </w:p>
          <w:p w14:paraId="03F0AA1C" w14:textId="77777777" w:rsidR="00892F21" w:rsidRPr="00892F21" w:rsidRDefault="00892F21" w:rsidP="00892F2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>International PEPPOL platform</w:t>
            </w:r>
            <w:r w:rsidRPr="00892F21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hyperlink r:id="rId7" w:tgtFrame="_blank" w:history="1">
              <w:r w:rsidRPr="00892F21">
                <w:rPr>
                  <w:rStyle w:val="Hyperlink"/>
                  <w:rFonts w:ascii="Calibri" w:hAnsi="Calibri" w:cs="Calibri"/>
                  <w:sz w:val="22"/>
                  <w:szCs w:val="22"/>
                </w:rPr>
                <w:t>peppol.eu/what-is-</w:t>
              </w:r>
              <w:proofErr w:type="spellStart"/>
              <w:r w:rsidRPr="00892F21">
                <w:rPr>
                  <w:rStyle w:val="Hyperlink"/>
                  <w:rFonts w:ascii="Calibri" w:hAnsi="Calibri" w:cs="Calibri"/>
                  <w:sz w:val="22"/>
                  <w:szCs w:val="22"/>
                </w:rPr>
                <w:t>peppol</w:t>
              </w:r>
              <w:proofErr w:type="spellEnd"/>
            </w:hyperlink>
          </w:p>
          <w:p w14:paraId="42BAAA6C" w14:textId="77777777" w:rsidR="00892F21" w:rsidRPr="00892F21" w:rsidRDefault="00892F21" w:rsidP="00892F2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>Coupa</w:t>
            </w:r>
            <w:r w:rsidRPr="00892F21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hyperlink r:id="rId8" w:tgtFrame="_blank" w:history="1">
              <w:r w:rsidRPr="00892F21">
                <w:rPr>
                  <w:rStyle w:val="Hyperlink"/>
                  <w:rFonts w:ascii="Calibri" w:hAnsi="Calibri" w:cs="Calibri"/>
                  <w:sz w:val="22"/>
                  <w:szCs w:val="22"/>
                </w:rPr>
                <w:t>coupa.com</w:t>
              </w:r>
            </w:hyperlink>
          </w:p>
          <w:p w14:paraId="0E28B832" w14:textId="77777777" w:rsidR="00892F21" w:rsidRPr="00892F21" w:rsidRDefault="00892F21" w:rsidP="00892F2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>Tungsten</w:t>
            </w:r>
            <w:r w:rsidRPr="00892F21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hyperlink r:id="rId9" w:tgtFrame="_blank" w:history="1">
              <w:r w:rsidRPr="00892F21">
                <w:rPr>
                  <w:rStyle w:val="Hyperlink"/>
                  <w:rFonts w:ascii="Calibri" w:hAnsi="Calibri" w:cs="Calibri"/>
                  <w:sz w:val="22"/>
                  <w:szCs w:val="22"/>
                </w:rPr>
                <w:t>tungsten-network.com</w:t>
              </w:r>
            </w:hyperlink>
          </w:p>
          <w:p w14:paraId="4B2F0A2A" w14:textId="77777777" w:rsidR="00892F21" w:rsidRPr="00892F21" w:rsidRDefault="00892F21" w:rsidP="00892F2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>Other platforms as requested</w:t>
            </w:r>
          </w:p>
          <w:p w14:paraId="142D8EF1" w14:textId="4CA64D7D" w:rsidR="00892F21" w:rsidRPr="00892F21" w:rsidRDefault="00892F21" w:rsidP="0089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 a flexible tool for connecting with all of suppliers and customers in whichever EDI / </w:t>
            </w:r>
            <w:proofErr w:type="spellStart"/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>eInvoicing</w:t>
            </w:r>
            <w:proofErr w:type="spellEnd"/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format they prefer. </w:t>
            </w:r>
            <w:r w:rsidR="0042342E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support</w:t>
            </w:r>
            <w:r w:rsidR="0042342E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892F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many different document types including:</w:t>
            </w:r>
          </w:p>
          <w:p w14:paraId="32D16BF9" w14:textId="77777777" w:rsidR="00892F21" w:rsidRPr="0042342E" w:rsidRDefault="00892F21" w:rsidP="0042342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342E">
              <w:rPr>
                <w:rFonts w:ascii="Calibri" w:hAnsi="Calibri" w:cs="Calibri"/>
                <w:color w:val="000000"/>
                <w:sz w:val="22"/>
                <w:szCs w:val="22"/>
              </w:rPr>
              <w:t>Invoices</w:t>
            </w:r>
            <w:r w:rsidRPr="0042342E">
              <w:rPr>
                <w:rFonts w:ascii="Calibri" w:hAnsi="Calibri" w:cs="Calibri"/>
                <w:sz w:val="22"/>
                <w:szCs w:val="22"/>
              </w:rPr>
              <w:t> </w:t>
            </w:r>
            <w:r w:rsidRPr="0042342E">
              <w:rPr>
                <w:rFonts w:ascii="Calibri" w:hAnsi="Calibri" w:cs="Calibri"/>
                <w:color w:val="000000"/>
                <w:sz w:val="22"/>
                <w:szCs w:val="22"/>
              </w:rPr>
              <w:t>(Purchasing and Sales)</w:t>
            </w:r>
          </w:p>
          <w:p w14:paraId="272800AE" w14:textId="77777777" w:rsidR="00892F21" w:rsidRPr="0042342E" w:rsidRDefault="00892F21" w:rsidP="0042342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342E">
              <w:rPr>
                <w:rFonts w:ascii="Calibri" w:hAnsi="Calibri" w:cs="Calibri"/>
                <w:color w:val="000000"/>
                <w:sz w:val="22"/>
                <w:szCs w:val="22"/>
              </w:rPr>
              <w:t>Orders</w:t>
            </w:r>
            <w:r w:rsidRPr="0042342E">
              <w:rPr>
                <w:rFonts w:ascii="Calibri" w:hAnsi="Calibri" w:cs="Calibri"/>
                <w:sz w:val="22"/>
                <w:szCs w:val="22"/>
              </w:rPr>
              <w:t> </w:t>
            </w:r>
            <w:r w:rsidRPr="0042342E">
              <w:rPr>
                <w:rFonts w:ascii="Calibri" w:hAnsi="Calibri" w:cs="Calibri"/>
                <w:color w:val="000000"/>
                <w:sz w:val="22"/>
                <w:szCs w:val="22"/>
              </w:rPr>
              <w:t>(Purchasing and Sales)</w:t>
            </w:r>
          </w:p>
          <w:p w14:paraId="44AEE927" w14:textId="77777777" w:rsidR="00892F21" w:rsidRPr="0042342E" w:rsidRDefault="00892F21" w:rsidP="0042342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2342E">
              <w:rPr>
                <w:rFonts w:ascii="Calibri" w:hAnsi="Calibri" w:cs="Calibri"/>
                <w:color w:val="000000"/>
                <w:sz w:val="22"/>
                <w:szCs w:val="22"/>
              </w:rPr>
              <w:t>PunchOut</w:t>
            </w:r>
            <w:proofErr w:type="spellEnd"/>
            <w:r w:rsidRPr="004234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Catalogue Requests</w:t>
            </w:r>
          </w:p>
          <w:p w14:paraId="05336420" w14:textId="77777777" w:rsidR="00892F21" w:rsidRPr="0042342E" w:rsidRDefault="00892F21" w:rsidP="0042342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342E">
              <w:rPr>
                <w:rFonts w:ascii="Calibri" w:hAnsi="Calibri" w:cs="Calibri"/>
                <w:color w:val="000000"/>
                <w:sz w:val="22"/>
                <w:szCs w:val="22"/>
              </w:rPr>
              <w:t>Despatch Advice</w:t>
            </w:r>
          </w:p>
          <w:p w14:paraId="685D390E" w14:textId="77777777" w:rsidR="00892F21" w:rsidRDefault="00892F21"/>
        </w:tc>
      </w:tr>
    </w:tbl>
    <w:p w14:paraId="26AC3CFB" w14:textId="77777777" w:rsidR="00892F21" w:rsidRDefault="00892F21"/>
    <w:p w14:paraId="6932D9FF" w14:textId="77777777" w:rsidR="009A0E08" w:rsidRDefault="009A0E08"/>
    <w:p w14:paraId="1DDC578D" w14:textId="77777777" w:rsidR="009A0E08" w:rsidRDefault="009A0E08"/>
    <w:p w14:paraId="03C030B8" w14:textId="2790603A" w:rsidR="009A0E08" w:rsidRDefault="009A0E08">
      <w:r>
        <w:lastRenderedPageBreak/>
        <w:fldChar w:fldCharType="begin"/>
      </w:r>
      <w:r>
        <w:instrText xml:space="preserve"> INCLUDEPICTURE "/Users/tarungupta/Library/Group Containers/UBF8T346G9.ms/WebArchiveCopyPasteTempFiles/com.microsoft.Word/einvoice.png"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8C85960" wp14:editId="3038D3AB">
            <wp:extent cx="4530941" cy="2427611"/>
            <wp:effectExtent l="0" t="0" r="3175" b="0"/>
            <wp:docPr id="1129479137" name="Picture 1" descr="eInvoic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nvoic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650" cy="245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C8CD7A6" w14:textId="77777777" w:rsidR="0034226A" w:rsidRDefault="0034226A"/>
    <w:p w14:paraId="4760E5BB" w14:textId="50A3A69D" w:rsidR="0034226A" w:rsidRPr="00507EE4" w:rsidRDefault="00507EE4">
      <w:pPr>
        <w:rPr>
          <w:b/>
          <w:bCs/>
        </w:rPr>
      </w:pPr>
      <w:r w:rsidRPr="00507EE4">
        <w:rPr>
          <w:b/>
          <w:bCs/>
        </w:rPr>
        <w:t>Account Receivable:</w:t>
      </w:r>
    </w:p>
    <w:p w14:paraId="46FC80C0" w14:textId="3AD3A79E" w:rsidR="003A4D68" w:rsidRDefault="003A4D68" w:rsidP="003A4D68">
      <w:pPr>
        <w:pStyle w:val="NormalWeb"/>
      </w:pPr>
      <w:r>
        <w:t xml:space="preserve">for AR--&gt; </w:t>
      </w:r>
      <w:r>
        <w:t>there</w:t>
      </w:r>
      <w:r>
        <w:t xml:space="preserve"> polling mechanism to pick posted invoices in GP and push to client PEPPOL access point. </w:t>
      </w:r>
    </w:p>
    <w:p w14:paraId="4AD1CA46" w14:textId="77777777" w:rsidR="00AA6C74" w:rsidRDefault="00AA6C74" w:rsidP="003A4D68">
      <w:pPr>
        <w:pStyle w:val="NormalWeb"/>
      </w:pPr>
    </w:p>
    <w:p w14:paraId="68F652A1" w14:textId="77777777" w:rsidR="00AA6C74" w:rsidRPr="00AA6C74" w:rsidRDefault="00AA6C74" w:rsidP="00AA6C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A6C7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Aidacare creates invoice in GP.</w:t>
      </w:r>
    </w:p>
    <w:p w14:paraId="4CCCEBAA" w14:textId="77777777" w:rsidR="00AA6C74" w:rsidRPr="00AA6C74" w:rsidRDefault="00AA6C74" w:rsidP="00AA6C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AA6C7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PostMaster</w:t>
      </w:r>
      <w:proofErr w:type="spellEnd"/>
      <w:r w:rsidRPr="00AA6C7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Connect converts it into </w:t>
      </w:r>
      <w:proofErr w:type="spellStart"/>
      <w:r w:rsidRPr="00AA6C7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Peppol</w:t>
      </w:r>
      <w:proofErr w:type="spellEnd"/>
      <w:r w:rsidRPr="00AA6C7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eInvoice format.</w:t>
      </w:r>
    </w:p>
    <w:p w14:paraId="6C79B84A" w14:textId="77777777" w:rsidR="00AA6C74" w:rsidRPr="00AA6C74" w:rsidRDefault="00AA6C74" w:rsidP="00AA6C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AA6C7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Aidacare’s</w:t>
      </w:r>
      <w:proofErr w:type="spellEnd"/>
      <w:r w:rsidRPr="00AA6C7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Access Point checks where the customer is registered.</w:t>
      </w:r>
    </w:p>
    <w:p w14:paraId="149FDF6E" w14:textId="77777777" w:rsidR="00AA6C74" w:rsidRPr="00AA6C74" w:rsidRDefault="00AA6C74" w:rsidP="00AA6C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A6C7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It sends the invoice to the customer’s Access Point.</w:t>
      </w:r>
    </w:p>
    <w:p w14:paraId="544B2BB1" w14:textId="77777777" w:rsidR="00AA6C74" w:rsidRPr="00AA6C74" w:rsidRDefault="00AA6C74" w:rsidP="00AA6C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A6C7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Customer’s finance system receives the invoice automatically.</w:t>
      </w:r>
    </w:p>
    <w:p w14:paraId="62D80FFF" w14:textId="77777777" w:rsidR="00AA6C74" w:rsidRPr="00AA6C74" w:rsidRDefault="00AA6C74" w:rsidP="00AA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A6C7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So Aidacare is </w:t>
      </w:r>
      <w:r w:rsidRPr="00AA6C7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not calling SAP, Oracle, Xero, MYOB, </w:t>
      </w:r>
      <w:proofErr w:type="spellStart"/>
      <w:r w:rsidRPr="00AA6C7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TechnologyOne</w:t>
      </w:r>
      <w:proofErr w:type="spellEnd"/>
      <w:r w:rsidRPr="00AA6C7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, Business Central, etc. directly</w:t>
      </w:r>
      <w:r w:rsidRPr="00AA6C7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 The customer’s own Access Point handles delivery into their finance system.</w:t>
      </w:r>
    </w:p>
    <w:p w14:paraId="2A8DE1BD" w14:textId="6AA7DD36" w:rsidR="00507EE4" w:rsidRDefault="00507EE4" w:rsidP="00507EE4">
      <w:pPr>
        <w:pStyle w:val="Heading2"/>
        <w:rPr>
          <w:color w:val="000000"/>
        </w:rPr>
      </w:pPr>
      <w:r>
        <w:rPr>
          <w:color w:val="000000"/>
        </w:rPr>
        <w:t>How does the Access Point know where to send the invoice?</w:t>
      </w:r>
    </w:p>
    <w:p w14:paraId="2019CCCE" w14:textId="77777777" w:rsidR="00507EE4" w:rsidRDefault="00507EE4" w:rsidP="00507EE4">
      <w:pPr>
        <w:pStyle w:val="NormalWeb"/>
        <w:rPr>
          <w:color w:val="000000"/>
        </w:rPr>
      </w:pPr>
      <w:r>
        <w:rPr>
          <w:color w:val="000000"/>
        </w:rPr>
        <w:t>It uses the customer’s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Strong"/>
          <w:rFonts w:eastAsiaTheme="majorEastAsia"/>
          <w:color w:val="000000"/>
        </w:rPr>
        <w:t>Peppol</w:t>
      </w:r>
      <w:proofErr w:type="spellEnd"/>
      <w:r>
        <w:rPr>
          <w:rStyle w:val="Strong"/>
          <w:rFonts w:eastAsiaTheme="majorEastAsia"/>
          <w:color w:val="000000"/>
        </w:rPr>
        <w:t xml:space="preserve"> ID</w:t>
      </w:r>
      <w:r>
        <w:rPr>
          <w:color w:val="000000"/>
        </w:rPr>
        <w:t>.</w:t>
      </w:r>
    </w:p>
    <w:p w14:paraId="18D2B6B5" w14:textId="77777777" w:rsidR="00507EE4" w:rsidRDefault="00507EE4" w:rsidP="00507EE4">
      <w:pPr>
        <w:pStyle w:val="NormalWeb"/>
        <w:rPr>
          <w:color w:val="000000"/>
        </w:rPr>
      </w:pPr>
      <w:r>
        <w:rPr>
          <w:color w:val="000000"/>
        </w:rPr>
        <w:t>For Australia, this is commonly based on identifiers such as the customer’s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ABN</w:t>
      </w:r>
      <w:r>
        <w:rPr>
          <w:color w:val="000000"/>
        </w:rPr>
        <w:t>.</w:t>
      </w:r>
    </w:p>
    <w:p w14:paraId="66B7F63F" w14:textId="77777777" w:rsidR="00507EE4" w:rsidRDefault="00507EE4" w:rsidP="00507EE4">
      <w:pPr>
        <w:pStyle w:val="NormalWeb"/>
        <w:rPr>
          <w:color w:val="000000"/>
        </w:rPr>
      </w:pPr>
      <w:r>
        <w:rPr>
          <w:color w:val="000000"/>
        </w:rPr>
        <w:t xml:space="preserve">The Access Point uses </w:t>
      </w:r>
      <w:proofErr w:type="spellStart"/>
      <w:r>
        <w:rPr>
          <w:color w:val="000000"/>
        </w:rPr>
        <w:t>Peppol</w:t>
      </w:r>
      <w:proofErr w:type="spellEnd"/>
      <w:r>
        <w:rPr>
          <w:color w:val="000000"/>
        </w:rPr>
        <w:t xml:space="preserve"> lookup services to find:</w:t>
      </w:r>
    </w:p>
    <w:p w14:paraId="3A6ECD71" w14:textId="77777777" w:rsidR="00507EE4" w:rsidRDefault="00507EE4" w:rsidP="00507EE4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 xml:space="preserve">Is this customer registered for </w:t>
      </w:r>
      <w:proofErr w:type="spellStart"/>
      <w:r>
        <w:rPr>
          <w:color w:val="000000"/>
        </w:rPr>
        <w:t>Peppol</w:t>
      </w:r>
      <w:proofErr w:type="spellEnd"/>
      <w:r>
        <w:rPr>
          <w:color w:val="000000"/>
        </w:rPr>
        <w:t>?</w:t>
      </w:r>
    </w:p>
    <w:p w14:paraId="47CC39DF" w14:textId="77777777" w:rsidR="00507EE4" w:rsidRDefault="00507EE4" w:rsidP="00507EE4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What document types can they receive?</w:t>
      </w:r>
    </w:p>
    <w:p w14:paraId="00D50758" w14:textId="77777777" w:rsidR="00507EE4" w:rsidRDefault="00507EE4" w:rsidP="00507EE4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Which Access Point should receive the invoice?</w:t>
      </w:r>
    </w:p>
    <w:p w14:paraId="07875A98" w14:textId="77777777" w:rsidR="00507EE4" w:rsidRDefault="00507EE4" w:rsidP="00507EE4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What address/certificate/security details are required?</w:t>
      </w:r>
    </w:p>
    <w:p w14:paraId="6EAB1F5B" w14:textId="77777777" w:rsidR="00507EE4" w:rsidRDefault="00507EE4" w:rsidP="00507EE4">
      <w:pPr>
        <w:pStyle w:val="NormalWeb"/>
        <w:rPr>
          <w:color w:val="000000"/>
        </w:rPr>
      </w:pPr>
      <w:proofErr w:type="spellStart"/>
      <w:r>
        <w:rPr>
          <w:color w:val="000000"/>
        </w:rPr>
        <w:t>OpenPeppol</w:t>
      </w:r>
      <w:proofErr w:type="spellEnd"/>
      <w:r>
        <w:rPr>
          <w:color w:val="000000"/>
        </w:rPr>
        <w:t xml:space="preserve"> describes this as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Addressing and Capability Lookup</w:t>
      </w:r>
      <w:r>
        <w:rPr>
          <w:color w:val="000000"/>
        </w:rPr>
        <w:t>, with 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Service Metadata Locator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helping Access Points discover trading partner addressing details, </w:t>
      </w:r>
      <w:proofErr w:type="gramStart"/>
      <w:r>
        <w:rPr>
          <w:color w:val="000000"/>
        </w:rPr>
        <w:t>similar to</w:t>
      </w:r>
      <w:proofErr w:type="gramEnd"/>
      <w:r>
        <w:rPr>
          <w:color w:val="000000"/>
        </w:rPr>
        <w:t xml:space="preserve"> how the internet finds websites from domain names</w:t>
      </w:r>
    </w:p>
    <w:p w14:paraId="50CB9943" w14:textId="77777777" w:rsidR="001A7BB7" w:rsidRDefault="001A7BB7" w:rsidP="001A7BB7">
      <w:pPr>
        <w:pStyle w:val="NormalWeb"/>
        <w:rPr>
          <w:color w:val="000000"/>
        </w:rPr>
      </w:pPr>
      <w:r>
        <w:rPr>
          <w:color w:val="000000"/>
        </w:rPr>
        <w:lastRenderedPageBreak/>
        <w:t>The invoice is sent as a structured XML eInvoice, not PDF.</w:t>
      </w:r>
    </w:p>
    <w:p w14:paraId="2DC37B5A" w14:textId="77777777" w:rsidR="001A7BB7" w:rsidRDefault="001A7BB7" w:rsidP="001A7BB7">
      <w:pPr>
        <w:pStyle w:val="NormalWeb"/>
        <w:rPr>
          <w:color w:val="000000"/>
        </w:rPr>
      </w:pPr>
      <w:r>
        <w:rPr>
          <w:color w:val="000000"/>
        </w:rPr>
        <w:t>For Australia/New Zealand, the relevant standard is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Strong"/>
          <w:rFonts w:eastAsiaTheme="majorEastAsia"/>
          <w:color w:val="000000"/>
        </w:rPr>
        <w:t>Peppol</w:t>
      </w:r>
      <w:proofErr w:type="spellEnd"/>
      <w:r>
        <w:rPr>
          <w:rStyle w:val="Strong"/>
          <w:rFonts w:eastAsiaTheme="majorEastAsia"/>
          <w:color w:val="000000"/>
        </w:rPr>
        <w:t xml:space="preserve"> PINT A-NZ Billing</w:t>
      </w:r>
      <w:r>
        <w:rPr>
          <w:color w:val="000000"/>
        </w:rPr>
        <w:t>, which defines invoice and credit note transactions and localises tax context such as GST.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2"/>
        <w:gridCol w:w="2448"/>
      </w:tblGrid>
      <w:tr w:rsidR="001A7BB7" w:rsidRPr="001A7BB7" w14:paraId="4CB3B1E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AA5EDC" w14:textId="77777777" w:rsidR="001A7BB7" w:rsidRPr="001A7BB7" w:rsidRDefault="001A7BB7" w:rsidP="001A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A7B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GP data</w:t>
            </w:r>
          </w:p>
        </w:tc>
        <w:tc>
          <w:tcPr>
            <w:tcW w:w="0" w:type="auto"/>
            <w:vAlign w:val="center"/>
            <w:hideMark/>
          </w:tcPr>
          <w:p w14:paraId="47060326" w14:textId="77777777" w:rsidR="001A7BB7" w:rsidRPr="001A7BB7" w:rsidRDefault="001A7BB7" w:rsidP="001A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A7B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eInvoice data</w:t>
            </w:r>
          </w:p>
        </w:tc>
      </w:tr>
      <w:tr w:rsidR="001A7BB7" w:rsidRPr="001A7BB7" w14:paraId="178F3A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DCB3C" w14:textId="77777777" w:rsidR="001A7BB7" w:rsidRPr="001A7BB7" w:rsidRDefault="001A7BB7" w:rsidP="001A7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A7BB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Customer number</w:t>
            </w:r>
          </w:p>
        </w:tc>
        <w:tc>
          <w:tcPr>
            <w:tcW w:w="0" w:type="auto"/>
            <w:vAlign w:val="center"/>
            <w:hideMark/>
          </w:tcPr>
          <w:p w14:paraId="202A731F" w14:textId="77777777" w:rsidR="001A7BB7" w:rsidRPr="001A7BB7" w:rsidRDefault="001A7BB7" w:rsidP="001A7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A7BB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Buyer party</w:t>
            </w:r>
          </w:p>
        </w:tc>
      </w:tr>
      <w:tr w:rsidR="001A7BB7" w:rsidRPr="001A7BB7" w14:paraId="2DC619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819AD" w14:textId="77777777" w:rsidR="001A7BB7" w:rsidRPr="001A7BB7" w:rsidRDefault="001A7BB7" w:rsidP="001A7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A7BB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Customer ABN / </w:t>
            </w:r>
            <w:proofErr w:type="spellStart"/>
            <w:r w:rsidRPr="001A7BB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Peppol</w:t>
            </w:r>
            <w:proofErr w:type="spellEnd"/>
            <w:r w:rsidRPr="001A7BB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14:paraId="6DBE04AC" w14:textId="77777777" w:rsidR="001A7BB7" w:rsidRPr="001A7BB7" w:rsidRDefault="001A7BB7" w:rsidP="001A7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A7BB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Buyer electronic address</w:t>
            </w:r>
          </w:p>
        </w:tc>
      </w:tr>
      <w:tr w:rsidR="001A7BB7" w:rsidRPr="001A7BB7" w14:paraId="01AB12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B3C55" w14:textId="77777777" w:rsidR="001A7BB7" w:rsidRPr="001A7BB7" w:rsidRDefault="001A7BB7" w:rsidP="001A7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A7BB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Invoice number</w:t>
            </w:r>
          </w:p>
        </w:tc>
        <w:tc>
          <w:tcPr>
            <w:tcW w:w="0" w:type="auto"/>
            <w:vAlign w:val="center"/>
            <w:hideMark/>
          </w:tcPr>
          <w:p w14:paraId="2CA644D3" w14:textId="77777777" w:rsidR="001A7BB7" w:rsidRPr="001A7BB7" w:rsidRDefault="001A7BB7" w:rsidP="001A7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A7BB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Invoice ID</w:t>
            </w:r>
          </w:p>
        </w:tc>
      </w:tr>
      <w:tr w:rsidR="001A7BB7" w:rsidRPr="001A7BB7" w14:paraId="243359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2DCF8" w14:textId="77777777" w:rsidR="001A7BB7" w:rsidRPr="001A7BB7" w:rsidRDefault="001A7BB7" w:rsidP="001A7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A7BB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Invoice date</w:t>
            </w:r>
          </w:p>
        </w:tc>
        <w:tc>
          <w:tcPr>
            <w:tcW w:w="0" w:type="auto"/>
            <w:vAlign w:val="center"/>
            <w:hideMark/>
          </w:tcPr>
          <w:p w14:paraId="0C43E84C" w14:textId="77777777" w:rsidR="001A7BB7" w:rsidRPr="001A7BB7" w:rsidRDefault="001A7BB7" w:rsidP="001A7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A7BB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Issue date</w:t>
            </w:r>
          </w:p>
        </w:tc>
      </w:tr>
      <w:tr w:rsidR="001A7BB7" w:rsidRPr="001A7BB7" w14:paraId="2722B8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4A9F9" w14:textId="77777777" w:rsidR="001A7BB7" w:rsidRPr="001A7BB7" w:rsidRDefault="001A7BB7" w:rsidP="001A7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A7BB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Item lines</w:t>
            </w:r>
          </w:p>
        </w:tc>
        <w:tc>
          <w:tcPr>
            <w:tcW w:w="0" w:type="auto"/>
            <w:vAlign w:val="center"/>
            <w:hideMark/>
          </w:tcPr>
          <w:p w14:paraId="0AF9AB06" w14:textId="77777777" w:rsidR="001A7BB7" w:rsidRPr="001A7BB7" w:rsidRDefault="001A7BB7" w:rsidP="001A7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A7BB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Invoice lines</w:t>
            </w:r>
          </w:p>
        </w:tc>
      </w:tr>
      <w:tr w:rsidR="001A7BB7" w:rsidRPr="001A7BB7" w14:paraId="42B126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A3716" w14:textId="77777777" w:rsidR="001A7BB7" w:rsidRPr="001A7BB7" w:rsidRDefault="001A7BB7" w:rsidP="001A7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A7BB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GST</w:t>
            </w:r>
          </w:p>
        </w:tc>
        <w:tc>
          <w:tcPr>
            <w:tcW w:w="0" w:type="auto"/>
            <w:vAlign w:val="center"/>
            <w:hideMark/>
          </w:tcPr>
          <w:p w14:paraId="74F0531B" w14:textId="77777777" w:rsidR="001A7BB7" w:rsidRPr="001A7BB7" w:rsidRDefault="001A7BB7" w:rsidP="001A7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A7BB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Tax total</w:t>
            </w:r>
          </w:p>
        </w:tc>
      </w:tr>
      <w:tr w:rsidR="001A7BB7" w:rsidRPr="001A7BB7" w14:paraId="008FBA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621D3" w14:textId="77777777" w:rsidR="001A7BB7" w:rsidRPr="001A7BB7" w:rsidRDefault="001A7BB7" w:rsidP="001A7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A7BB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Total amount</w:t>
            </w:r>
          </w:p>
        </w:tc>
        <w:tc>
          <w:tcPr>
            <w:tcW w:w="0" w:type="auto"/>
            <w:vAlign w:val="center"/>
            <w:hideMark/>
          </w:tcPr>
          <w:p w14:paraId="691C5FAF" w14:textId="77777777" w:rsidR="001A7BB7" w:rsidRPr="001A7BB7" w:rsidRDefault="001A7BB7" w:rsidP="001A7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A7BB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Payable amount</w:t>
            </w:r>
          </w:p>
        </w:tc>
      </w:tr>
      <w:tr w:rsidR="001A7BB7" w:rsidRPr="001A7BB7" w14:paraId="19C127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2749F" w14:textId="77777777" w:rsidR="001A7BB7" w:rsidRPr="001A7BB7" w:rsidRDefault="001A7BB7" w:rsidP="001A7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A7BB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PO number</w:t>
            </w:r>
          </w:p>
        </w:tc>
        <w:tc>
          <w:tcPr>
            <w:tcW w:w="0" w:type="auto"/>
            <w:vAlign w:val="center"/>
            <w:hideMark/>
          </w:tcPr>
          <w:p w14:paraId="1EA0CC0F" w14:textId="77777777" w:rsidR="001A7BB7" w:rsidRPr="001A7BB7" w:rsidRDefault="001A7BB7" w:rsidP="001A7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A7BB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Order reference</w:t>
            </w:r>
          </w:p>
        </w:tc>
      </w:tr>
    </w:tbl>
    <w:p w14:paraId="43284D40" w14:textId="77777777" w:rsidR="00AA6C74" w:rsidRDefault="00AA6C74" w:rsidP="003A4D68">
      <w:pPr>
        <w:pStyle w:val="NormalWeb"/>
      </w:pPr>
    </w:p>
    <w:p w14:paraId="1B0C70D6" w14:textId="77777777" w:rsidR="001A7BB7" w:rsidRDefault="001A7BB7" w:rsidP="003A4D68">
      <w:pPr>
        <w:pStyle w:val="NormalWeb"/>
      </w:pPr>
    </w:p>
    <w:p w14:paraId="1F88834A" w14:textId="77777777" w:rsidR="001A7BB7" w:rsidRPr="00A676CF" w:rsidRDefault="001A7BB7" w:rsidP="003A4D68">
      <w:pPr>
        <w:pStyle w:val="NormalWeb"/>
        <w:rPr>
          <w:b/>
          <w:bCs/>
        </w:rPr>
      </w:pPr>
    </w:p>
    <w:p w14:paraId="42BD96CD" w14:textId="66615390" w:rsidR="001A7BB7" w:rsidRPr="00A676CF" w:rsidRDefault="00A676CF" w:rsidP="003A4D68">
      <w:pPr>
        <w:pStyle w:val="NormalWeb"/>
        <w:rPr>
          <w:b/>
          <w:bCs/>
        </w:rPr>
      </w:pPr>
      <w:r w:rsidRPr="00A676CF">
        <w:rPr>
          <w:b/>
          <w:bCs/>
        </w:rPr>
        <w:t>Account Payable</w:t>
      </w:r>
    </w:p>
    <w:p w14:paraId="5FE4244F" w14:textId="594A36A4" w:rsidR="003A4D68" w:rsidRDefault="003A4D68" w:rsidP="003A4D68">
      <w:pPr>
        <w:pStyle w:val="NormalWeb"/>
      </w:pPr>
      <w:r>
        <w:t xml:space="preserve">and for AP-&gt; listening to Aidacare PEPPOL access point to </w:t>
      </w:r>
      <w:r>
        <w:t xml:space="preserve">give to </w:t>
      </w:r>
      <w:proofErr w:type="spellStart"/>
      <w:r>
        <w:t>Docuphase</w:t>
      </w:r>
      <w:proofErr w:type="spellEnd"/>
      <w:r>
        <w:t xml:space="preserve">. </w:t>
      </w:r>
    </w:p>
    <w:p w14:paraId="5C51E4E8" w14:textId="77777777" w:rsidR="00A676CF" w:rsidRPr="00A676CF" w:rsidRDefault="00A676CF" w:rsidP="00A676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A676CF">
        <w:rPr>
          <w:rFonts w:ascii="Times New Roman" w:eastAsia="Times New Roman" w:hAnsi="Symbol" w:cs="Times New Roman"/>
          <w:kern w:val="0"/>
          <w:lang w:eastAsia="en-GB"/>
          <w14:ligatures w14:val="none"/>
        </w:rPr>
        <w:t></w:t>
      </w:r>
      <w:r w:rsidRPr="00A676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Supplier</w:t>
      </w:r>
      <w:proofErr w:type="gramEnd"/>
      <w:r w:rsidRPr="00A676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sends Aidacare an eInvoice.</w:t>
      </w:r>
    </w:p>
    <w:p w14:paraId="4CC78228" w14:textId="77777777" w:rsidR="00A676CF" w:rsidRPr="00A676CF" w:rsidRDefault="00A676CF" w:rsidP="00A676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A676CF">
        <w:rPr>
          <w:rFonts w:ascii="Times New Roman" w:eastAsia="Times New Roman" w:hAnsi="Symbol" w:cs="Times New Roman"/>
          <w:kern w:val="0"/>
          <w:lang w:eastAsia="en-GB"/>
          <w14:ligatures w14:val="none"/>
        </w:rPr>
        <w:t></w:t>
      </w:r>
      <w:r w:rsidRPr="00A676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</w:t>
      </w:r>
      <w:proofErr w:type="spellStart"/>
      <w:r w:rsidRPr="00A676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PostMaster</w:t>
      </w:r>
      <w:proofErr w:type="spellEnd"/>
      <w:proofErr w:type="gramEnd"/>
      <w:r w:rsidRPr="00A676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Connect receives/reads it.</w:t>
      </w:r>
    </w:p>
    <w:p w14:paraId="1CD90543" w14:textId="77777777" w:rsidR="00A676CF" w:rsidRPr="00A676CF" w:rsidRDefault="00A676CF" w:rsidP="00A676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A676CF">
        <w:rPr>
          <w:rFonts w:ascii="Times New Roman" w:eastAsia="Times New Roman" w:hAnsi="Symbol" w:cs="Times New Roman"/>
          <w:kern w:val="0"/>
          <w:lang w:eastAsia="en-GB"/>
          <w14:ligatures w14:val="none"/>
        </w:rPr>
        <w:t></w:t>
      </w:r>
      <w:r w:rsidRPr="00A676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It</w:t>
      </w:r>
      <w:proofErr w:type="gramEnd"/>
      <w:r w:rsidRPr="00A676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checks vendor details, ABN, PO number, invoice number, tax/GST data.</w:t>
      </w:r>
    </w:p>
    <w:p w14:paraId="4CAB8ED1" w14:textId="083C1502" w:rsidR="00A676CF" w:rsidRPr="00A676CF" w:rsidRDefault="00A676CF" w:rsidP="00A676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676CF">
        <w:rPr>
          <w:rFonts w:ascii="Times New Roman" w:eastAsia="Times New Roman" w:hAnsi="Symbol" w:cs="Times New Roman"/>
          <w:kern w:val="0"/>
          <w:lang w:eastAsia="en-GB"/>
          <w14:ligatures w14:val="none"/>
        </w:rPr>
        <w:t></w:t>
      </w:r>
      <w:r w:rsidRPr="00A676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It send it to </w:t>
      </w:r>
      <w:proofErr w:type="spellStart"/>
      <w:r w:rsidRPr="00A676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Docuphase</w:t>
      </w:r>
      <w:proofErr w:type="spellEnd"/>
      <w:r w:rsidRPr="00A676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/AP approval workflow </w:t>
      </w:r>
    </w:p>
    <w:p w14:paraId="777F01E7" w14:textId="6C92B998" w:rsidR="0034226A" w:rsidRDefault="00A676CF" w:rsidP="00A676CF">
      <w:proofErr w:type="gramStart"/>
      <w:r w:rsidRPr="00A676CF">
        <w:rPr>
          <w:rFonts w:ascii="Times New Roman" w:eastAsia="Times New Roman" w:hAnsi="Symbol" w:cs="Times New Roman"/>
          <w:kern w:val="0"/>
          <w:lang w:eastAsia="en-GB"/>
          <w14:ligatures w14:val="none"/>
        </w:rPr>
        <w:t></w:t>
      </w:r>
      <w:r w:rsidRPr="00A676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If</w:t>
      </w:r>
      <w:proofErr w:type="gramEnd"/>
      <w:r w:rsidRPr="00A676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vendor/PO/tax code does not match, invoice is placed in error/exception queue.</w:t>
      </w:r>
    </w:p>
    <w:sectPr w:rsidR="00342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7C18"/>
    <w:multiLevelType w:val="multilevel"/>
    <w:tmpl w:val="ED04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77736"/>
    <w:multiLevelType w:val="multilevel"/>
    <w:tmpl w:val="6C0A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6111F"/>
    <w:multiLevelType w:val="multilevel"/>
    <w:tmpl w:val="05AC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84A09"/>
    <w:multiLevelType w:val="multilevel"/>
    <w:tmpl w:val="DB36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44E7C"/>
    <w:multiLevelType w:val="hybridMultilevel"/>
    <w:tmpl w:val="83887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309781">
    <w:abstractNumId w:val="1"/>
  </w:num>
  <w:num w:numId="2" w16cid:durableId="1796676413">
    <w:abstractNumId w:val="2"/>
  </w:num>
  <w:num w:numId="3" w16cid:durableId="88476894">
    <w:abstractNumId w:val="4"/>
  </w:num>
  <w:num w:numId="4" w16cid:durableId="1402369494">
    <w:abstractNumId w:val="0"/>
  </w:num>
  <w:num w:numId="5" w16cid:durableId="1728913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21"/>
    <w:rsid w:val="001650BF"/>
    <w:rsid w:val="001A7BB7"/>
    <w:rsid w:val="001C0128"/>
    <w:rsid w:val="0034226A"/>
    <w:rsid w:val="003A4D68"/>
    <w:rsid w:val="003C259E"/>
    <w:rsid w:val="0042342E"/>
    <w:rsid w:val="00507EE4"/>
    <w:rsid w:val="00892F21"/>
    <w:rsid w:val="009A0E08"/>
    <w:rsid w:val="00A34DAD"/>
    <w:rsid w:val="00A676CF"/>
    <w:rsid w:val="00AA6C74"/>
    <w:rsid w:val="00B96778"/>
    <w:rsid w:val="00C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BB8E5"/>
  <w15:chartTrackingRefBased/>
  <w15:docId w15:val="{127F6BD0-25A6-BB41-8CA4-B6804071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2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2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F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2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92F21"/>
    <w:rPr>
      <w:b/>
      <w:bCs/>
    </w:rPr>
  </w:style>
  <w:style w:type="character" w:customStyle="1" w:styleId="apple-converted-space">
    <w:name w:val="apple-converted-space"/>
    <w:basedOn w:val="DefaultParagraphFont"/>
    <w:rsid w:val="00892F21"/>
  </w:style>
  <w:style w:type="character" w:styleId="Hyperlink">
    <w:name w:val="Hyperlink"/>
    <w:basedOn w:val="DefaultParagraphFont"/>
    <w:uiPriority w:val="99"/>
    <w:semiHidden/>
    <w:unhideWhenUsed/>
    <w:rsid w:val="00892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p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ppol.eu/what-is-peppo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to.gov.au/business/e-invoicin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tungsten-networ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447</Words>
  <Characters>3175</Characters>
  <Application>Microsoft Office Word</Application>
  <DocSecurity>0</DocSecurity>
  <Lines>288</Lines>
  <Paragraphs>150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Tarun Gupta</dc:creator>
  <cp:keywords/>
  <dc:description/>
  <cp:lastModifiedBy>Tarun Gupta</cp:lastModifiedBy>
  <cp:revision>10</cp:revision>
  <dcterms:created xsi:type="dcterms:W3CDTF">2026-05-21T07:31:00Z</dcterms:created>
  <dcterms:modified xsi:type="dcterms:W3CDTF">2026-05-21T07:58:00Z</dcterms:modified>
</cp:coreProperties>
</file>